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8C9F57"/>
    <w:p w14:paraId="28441D3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61771C1">
      <w:pPr>
        <w:spacing w:line="540" w:lineRule="exact"/>
        <w:jc w:val="center"/>
        <w:rPr>
          <w:rFonts w:ascii="华文中宋" w:hAnsi="华文中宋" w:eastAsia="华文中宋" w:cs="宋体"/>
          <w:b/>
          <w:kern w:val="0"/>
          <w:sz w:val="52"/>
          <w:szCs w:val="52"/>
        </w:rPr>
      </w:pPr>
    </w:p>
    <w:p w14:paraId="4F5E1CC7">
      <w:pPr>
        <w:spacing w:line="540" w:lineRule="exact"/>
        <w:jc w:val="center"/>
        <w:rPr>
          <w:rFonts w:ascii="华文中宋" w:hAnsi="华文中宋" w:eastAsia="华文中宋" w:cs="宋体"/>
          <w:b/>
          <w:kern w:val="0"/>
          <w:sz w:val="52"/>
          <w:szCs w:val="52"/>
        </w:rPr>
      </w:pPr>
    </w:p>
    <w:p w14:paraId="5176F24F">
      <w:pPr>
        <w:spacing w:line="540" w:lineRule="exact"/>
        <w:jc w:val="center"/>
        <w:rPr>
          <w:rFonts w:ascii="华文中宋" w:hAnsi="华文中宋" w:eastAsia="华文中宋" w:cs="宋体"/>
          <w:b/>
          <w:kern w:val="0"/>
          <w:sz w:val="52"/>
          <w:szCs w:val="52"/>
        </w:rPr>
      </w:pPr>
    </w:p>
    <w:p w14:paraId="46E47EEB">
      <w:pPr>
        <w:spacing w:line="540" w:lineRule="exact"/>
        <w:jc w:val="center"/>
        <w:rPr>
          <w:rFonts w:ascii="华文中宋" w:hAnsi="华文中宋" w:eastAsia="华文中宋" w:cs="宋体"/>
          <w:b/>
          <w:kern w:val="0"/>
          <w:sz w:val="52"/>
          <w:szCs w:val="52"/>
        </w:rPr>
      </w:pPr>
    </w:p>
    <w:p w14:paraId="79E3BDB2">
      <w:pPr>
        <w:spacing w:line="540" w:lineRule="exact"/>
        <w:jc w:val="center"/>
        <w:rPr>
          <w:rFonts w:ascii="华文中宋" w:hAnsi="华文中宋" w:eastAsia="华文中宋" w:cs="宋体"/>
          <w:b/>
          <w:kern w:val="0"/>
          <w:sz w:val="52"/>
          <w:szCs w:val="52"/>
        </w:rPr>
      </w:pPr>
    </w:p>
    <w:p w14:paraId="11A0347B">
      <w:pPr>
        <w:spacing w:line="540" w:lineRule="exact"/>
        <w:jc w:val="center"/>
        <w:rPr>
          <w:rFonts w:ascii="华文中宋" w:hAnsi="华文中宋" w:eastAsia="华文中宋" w:cs="宋体"/>
          <w:b/>
          <w:kern w:val="0"/>
          <w:sz w:val="52"/>
          <w:szCs w:val="52"/>
        </w:rPr>
      </w:pPr>
    </w:p>
    <w:p w14:paraId="71A511F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1DFB706">
      <w:pPr>
        <w:spacing w:line="540" w:lineRule="exact"/>
        <w:jc w:val="center"/>
        <w:rPr>
          <w:rFonts w:ascii="华文中宋" w:hAnsi="华文中宋" w:eastAsia="华文中宋" w:cs="宋体"/>
          <w:b/>
          <w:kern w:val="0"/>
          <w:sz w:val="52"/>
          <w:szCs w:val="52"/>
        </w:rPr>
      </w:pPr>
    </w:p>
    <w:p w14:paraId="1DAFD1F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A4F59AB">
      <w:pPr>
        <w:spacing w:line="540" w:lineRule="exact"/>
        <w:jc w:val="center"/>
        <w:rPr>
          <w:rFonts w:hAnsi="宋体" w:eastAsia="仿宋_GB2312" w:cs="宋体"/>
          <w:kern w:val="0"/>
          <w:sz w:val="30"/>
          <w:szCs w:val="30"/>
        </w:rPr>
      </w:pPr>
    </w:p>
    <w:p w14:paraId="00C71AEF">
      <w:pPr>
        <w:spacing w:line="540" w:lineRule="exact"/>
        <w:jc w:val="center"/>
        <w:rPr>
          <w:rFonts w:hAnsi="宋体" w:eastAsia="仿宋_GB2312" w:cs="宋体"/>
          <w:kern w:val="0"/>
          <w:sz w:val="30"/>
          <w:szCs w:val="30"/>
        </w:rPr>
      </w:pPr>
    </w:p>
    <w:p w14:paraId="0F2DA3A9">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DB9DACB">
      <w:pPr>
        <w:spacing w:line="540" w:lineRule="exact"/>
        <w:jc w:val="center"/>
        <w:rPr>
          <w:rFonts w:hAnsi="宋体" w:eastAsia="仿宋_GB2312" w:cs="宋体"/>
          <w:kern w:val="0"/>
          <w:sz w:val="30"/>
          <w:szCs w:val="30"/>
        </w:rPr>
      </w:pPr>
    </w:p>
    <w:p w14:paraId="7775B586">
      <w:pPr>
        <w:spacing w:line="540" w:lineRule="exact"/>
        <w:jc w:val="center"/>
        <w:rPr>
          <w:rFonts w:hAnsi="宋体" w:eastAsia="仿宋_GB2312" w:cs="宋体"/>
          <w:kern w:val="0"/>
          <w:sz w:val="30"/>
          <w:szCs w:val="30"/>
        </w:rPr>
      </w:pPr>
    </w:p>
    <w:p w14:paraId="0EB5AD7D">
      <w:pPr>
        <w:spacing w:line="540" w:lineRule="exact"/>
        <w:jc w:val="center"/>
        <w:rPr>
          <w:rFonts w:hAnsi="宋体" w:eastAsia="仿宋_GB2312" w:cs="宋体"/>
          <w:kern w:val="0"/>
          <w:sz w:val="30"/>
          <w:szCs w:val="30"/>
        </w:rPr>
      </w:pPr>
    </w:p>
    <w:p w14:paraId="1F3776D7">
      <w:pPr>
        <w:spacing w:line="540" w:lineRule="exact"/>
        <w:rPr>
          <w:rFonts w:hAnsi="宋体" w:eastAsia="仿宋_GB2312" w:cs="宋体"/>
          <w:kern w:val="0"/>
          <w:sz w:val="30"/>
          <w:szCs w:val="30"/>
        </w:rPr>
      </w:pPr>
    </w:p>
    <w:p w14:paraId="38BA3C8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8C6122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2024年自治州福利彩票公益金支持社会福利项目- 州儿童福利院未成年人（困境儿童）项目补助经费</w:t>
      </w:r>
    </w:p>
    <w:p w14:paraId="427537D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儿童福利院</w:t>
      </w:r>
    </w:p>
    <w:p w14:paraId="2125E78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新疆巴音郭楞蒙古自治州儿童福利院</w:t>
      </w:r>
    </w:p>
    <w:p w14:paraId="4C2EBEB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张晓博</w:t>
      </w:r>
    </w:p>
    <w:p w14:paraId="2132EA0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59631357">
      <w:pPr>
        <w:spacing w:line="700" w:lineRule="exact"/>
        <w:ind w:firstLine="708" w:firstLineChars="236"/>
        <w:jc w:val="left"/>
        <w:rPr>
          <w:rFonts w:hAnsi="宋体" w:eastAsia="仿宋_GB2312" w:cs="宋体"/>
          <w:kern w:val="0"/>
          <w:sz w:val="30"/>
          <w:szCs w:val="30"/>
        </w:rPr>
      </w:pPr>
    </w:p>
    <w:p w14:paraId="1BCA49A6">
      <w:pPr>
        <w:spacing w:line="540" w:lineRule="exact"/>
        <w:rPr>
          <w:rStyle w:val="19"/>
          <w:rFonts w:ascii="黑体" w:hAnsi="黑体" w:eastAsia="黑体"/>
          <w:b w:val="0"/>
          <w:spacing w:val="-4"/>
          <w:sz w:val="32"/>
          <w:szCs w:val="32"/>
        </w:rPr>
      </w:pPr>
    </w:p>
    <w:p w14:paraId="08A4DED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37DD77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68DC2D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我院康复设备老旧，无法满足智障残疾孤儿康复需求，为了完善我院康复室设备，为残障孤儿提供更加精细化的康复训练，不断提升残障孤儿自理能力和适应社会的能力，于是设定该项目。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项目主要内容：购买一批适合我院智障孤儿的康复设备及应用软件，为其提供更加精细化的康复训练。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项目实施情况：（1）5月份资金下达后，我院成立了项目领导小组和项目工作小组，并指定了项目负责人，由康复部负责人负责项目的具体开展工作；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（2）6至9月份，项目负责人通过招投标代理公司对项目进行招投标工作，因设备专业性较强，多次招投标未成功，10月份，常州市钱璟康复股份有限公司被确认为中标供应商；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（3）康复部按照科室需求整理确认康复购买种类和数量，经项目领导小组审定后，与供应商于10月底签订康复器材购买合同；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11月22日前，康复设备基本全部到货，经过项目专家评审团本分评委和我单位康复部工作人员共同验收合格后，确认为固定资产。商家按照合同要求派技术人员对新购置的设备使用进行培训，保证了设备投入使用的及时性和可操作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康复部3名教师运用新购入的康复器材，为我院8名残障儿童制定了个性化的康复计划，满足不同层次儿童的康复需求，该批康复设备的运用，提高了工作人员对残障儿童的康复能力，同时也在不断的促进残障儿童在生理和心理方面的改变，切实有效提高了我院孤残智障儿童服务工作高质量的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该项目年初预算数50万元，全年预算数50万元，该项目资金已全部落实到位，资金来源为财政拨款。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该项目年初预算数50万元，全年预算数50万元，全年执行数50万元，预算执行率为100%，50万元主要用于购买了10件适合我院残障孤儿康复训练需求的康复器材。</w:t>
      </w:r>
    </w:p>
    <w:p w14:paraId="46B159C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F30A70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政府采购平台，购置不少于9台康复设备，完善我院康复室，为残障孤儿提供更加精细化的康复训练，不断提升残障儿童自理能力和适应社会的能力，加强对康复师的培训，提高设备的利用率，推动孤残儿童服务工作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（1）项目资金5月份下达后，6月份成立项目领导小组和项目工作小组，项目工作小组对需要购置的康复设备进行数据的确认和整理，以及对市场供应情况进行了解；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（2）第三季度，项目负责人通过招投标代理公司开展该项目的招投标相关工作确认供应商，签订采购合同；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（3）第四季度，康复设备入库后，聘请评审团专家对设备进行验收，保证质量的合格率和安全性。后由供应方提供技术支持，对康复人员进行新设备使用的培训工作，保证康复人员对设备能够娴熟操作。</w:t>
      </w:r>
    </w:p>
    <w:p w14:paraId="7744FB8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5F4279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4960FE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评价指标体系的构建上，评价小组通过对项目的性质、目标以及预期成果方面的讨论，最终选取了能够完整衡量该项目关键指标，主要涵盖了社会效益，项目产出、项目过程等方面，力求全面反映该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在数据收集与分析环节，我单位收集了与该项目相关的各类数据，保证了数据的准确性。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我单位严格按照统一的格式和规范进行编排，内容层次分明、条理清晰。首先对项目的背景、目标和预算安排以及绩效评价的指标体系、评价方法和数据来源等做了详细的阐述；其次对各项绩效指标的完成情况进行了逐一分析和评价，指出了项目在实施过程中存在的问题和不足，最后对整个项目的绩效状况进行了综合总结，提出了相应的改进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通过对项目预算执行情况及各项绩效目标达成程度的系统性分析，全面、客观地评估项目在预定周期内的实施效果，主要是该项目的实施是否起到了推动未成年人保护（困境儿童）工作高质量发展的社会效益。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单位项目负责相关人员在预算绩效管理中的职责与任务，借助绩效评价结果对项目管理过程进行监督与问责，促使单位领导增强责任意识，主动优化管理流程，完善内部控制机制，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基于绩效评价发现的问题与不足，提出针对性的改进建议与措施，引导单位项目相关人员加强过程监控与质量把控，不断提升我单位项目整体绩效水平，实现单位各个项目工作长期稳定发展的目标。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本项目预算绩效评价报告的编制以提升单位项目绩效为核心，旨在通过科学、严谨的评价工作，为单位项目管理与决策提供全方位、深层次的支持，充分发挥财政资金的经济效益与社会效益。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本项目预算绩效评价报告的评价对象是2024年自治州福利彩票公益金支持社会福利项目- 州儿童福利院未成年人（困境儿童）项目补助经费及其预算执行情况。该项目由康复部负责实施，旨在根据康复部实际情况，选定符合我院残障儿童康复需求的康复器材，并完成项目招投标、采购工作及设备的验收工作，切实保证采购器材的使用率、安全性和可操作性，不断提升。项目预算涵盖从2024年5月至2024年12月的全部资金投入与支出，涉及资金总额为50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本项目预算绩效评价报告的评价范围广泛而全面，涵盖了从项目计划至评价时点期间的所有关键预算活动和财务流程。具体而言，评价范围包括但不限于以下几个方面：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（2）资金管理：通过资金的预算和执行情况，分析资金在项目开展过程中发挥的实际效益，以及通过资金的支出的合法合规性，</w:t>
      </w:r>
      <w:r>
        <w:rPr>
          <w:rStyle w:val="19"/>
          <w:rFonts w:hint="eastAsia" w:ascii="楷体" w:hAnsi="楷体" w:eastAsia="楷体"/>
          <w:spacing w:val="-4"/>
          <w:sz w:val="32"/>
          <w:szCs w:val="32"/>
          <w:lang w:eastAsia="zh-CN"/>
        </w:rPr>
        <w:t>反映</w:t>
      </w:r>
      <w:r>
        <w:rPr>
          <w:rStyle w:val="19"/>
          <w:rFonts w:hint="eastAsia" w:ascii="楷体" w:hAnsi="楷体" w:eastAsia="楷体"/>
          <w:spacing w:val="-4"/>
          <w:sz w:val="32"/>
          <w:szCs w:val="32"/>
        </w:rPr>
        <w:t>资金的规范运行情况。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（4）社会影响：考察项目对社会综合影响。</w:t>
      </w:r>
    </w:p>
    <w:p w14:paraId="54B6200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783A48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是指综合分析影响绩效目标实现、实施效果的内外部因素的方法。采用该法的原因是考虑到康复器材都是用于院内智障孤儿，为了保障器材质量的合格和安全性，对选择供应方设定了比较严格标准，在通过严格的筛选后，选择了一家比较专业且在全国具有一定资质的供应商，在保证质量的同时，也保证了器材售后服务的优质性，切实提高了服务孤残儿童工作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最低成本法。是指在绩效目标确定的前提下，成本最小者为优的方法。采用该法的原因是绩效目标设定初的采购成本控制数为5.5万元/台，为了为智障儿童提供更好的康复训练，我单位在和供应方合同的商议上下了比较大的功夫，在网上通过购买器材价钱的对比查询，单位工作人员把购买价款压到了最低，以至在原计划50万元购置9台器材的情况下，购置了10台，进一步完善我院康复室康复器材的数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绩效评价标准通常包括计划标准、行业标准、历史标准等，用于对绩效指标完成情况进行比较、分析、评价。本次评价主要采用了计划标准。主要因为该项目属于本年度新项目，各项指标终根据单位对该项目预期计划而设立。</w:t>
      </w:r>
    </w:p>
    <w:p w14:paraId="50FE3A1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EAAABD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人员、项目管理人员组成，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评价小组依据《2024年自治州福利彩票公益金支持社会福利项目- 州儿童福利院未成年人（困境儿童）项目补助经费》项目的目标和最终效益，构建了比较合理的绩效评价指标体系。该指标体系涵盖了项目决策、项目过程、项目产出、项目效益四个方面，选择了可行性比较强的指标，为每个指标确定了评价标准与权重，保证评价结果能够更加全面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评价小组收集与项目相关的各类数据，包括财务报表、项目文档等，并对收集到的数据进行了系统的整理与分类，为项目评价提供了数据依据。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统一的格式和规范撰写项目预算绩效评价报告。报告内容包括项目背景、评价目的、评价指标体系、数据收集与分析方法、绩效评价结果、存在问题与改进建议等多个部分，报告条理清晰、重点突出、语言简洁明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在评价报告提交后，我们将根据该项目存在的问题，完善今后其他项目的绩效评价指标体系与方法，保证我单位绩效评价指标体系与方法的不断精进。</w:t>
      </w:r>
    </w:p>
    <w:p w14:paraId="3BDFDF1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272B14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本项目的综合评价基于对项目各方面绩效的深入分析与评估。从项目目标的达成情况来看，2024年自治州福利彩票公益金支持社会福利项目- 州儿童福利院未成年人（困境儿童）项目补助经费完善我院康复器材、采购器材的质量合格、康复器材经供养方培训后的利用等方面表现出色，达到了预期的标准与要求。同时，项目也在推动未成年人保护（困境儿童）发展领域，取得了显著的成效，如提升了智障儿童康复训练的积极性，提高了康复人员的专业能力等，切实推动了我院智障孤儿康复工作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在项目管理方面，巴州儿童福利院通过比较有效的规划、组织与协调，项目得以顺利实施，并在预算与时间上保持了良好的控制。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从项目效益的角度来看，本项目不仅实现了预期的社会效益，产生了积极的影响。具体而言，提高设备利用率、推动未成年人保护工作发展等方面的提升，为项目的利益相关者带来了实实在在的利益。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综上所述，2024年自治州福利彩票公益金支持社会福利项目- 州儿童福利院未成年人（困境儿童）项目补助经费在绩效评价中表现出色，达到了项目的预期目标，并在多个方面取得了显著的成效。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项目决策</w:t>
      </w:r>
      <w:r>
        <w:rPr>
          <w:rStyle w:val="19"/>
          <w:rFonts w:hint="eastAsia" w:ascii="楷体" w:hAnsi="楷体" w:eastAsia="楷体"/>
          <w:spacing w:val="-4"/>
          <w:sz w:val="32"/>
          <w:szCs w:val="32"/>
        </w:rPr>
        <w:tab/>
      </w:r>
      <w:r>
        <w:rPr>
          <w:rStyle w:val="19"/>
          <w:rFonts w:hint="eastAsia" w:ascii="楷体" w:hAnsi="楷体" w:eastAsia="楷体"/>
          <w:spacing w:val="-4"/>
          <w:sz w:val="32"/>
          <w:szCs w:val="32"/>
        </w:rPr>
        <w:t>20</w:t>
      </w:r>
      <w:r>
        <w:rPr>
          <w:rStyle w:val="19"/>
          <w:rFonts w:hint="eastAsia" w:ascii="楷体" w:hAnsi="楷体" w:eastAsia="楷体"/>
          <w:spacing w:val="-4"/>
          <w:sz w:val="32"/>
          <w:szCs w:val="32"/>
        </w:rPr>
        <w:tab/>
      </w:r>
      <w:r>
        <w:rPr>
          <w:rStyle w:val="19"/>
          <w:rFonts w:hint="eastAsia" w:ascii="楷体" w:hAnsi="楷体" w:eastAsia="楷体"/>
          <w:spacing w:val="-4"/>
          <w:sz w:val="32"/>
          <w:szCs w:val="32"/>
        </w:rPr>
        <w:t xml:space="preserve">20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0A85335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243AC4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1E946C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彩票公益金管理办法》，符合福彩公益金规划要求，围绕未成年人（困境儿童）项目补助经费预算，与我单位救助孤残儿童的职能相符，属于自治州福利彩票公益金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此项权重3分，实际得分3分。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州财政局绩效管理要求，严格按照审批流程准备符合要求的文件、材料；根据民政局工作计划和经费预算，经过与我单位领导沟通，确定了经费预算计划，确定最终预算方案。项目事前经过必要的可行性研究、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此项权重3分，实际得分3分。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结合我单位购买康复器材的实际工作设定绩效目标，绩效目标依据彩票公益金资金支出管理办法，通过购买一批康复器材，为我单位残障儿童提供更加精细化的康复服务。绩效目标表经过财政局工程师的审核，绩效目标的设定与项目实际情况及绩效相关要求相符，绩效目标申报完全合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此项权重3分，实际得分3分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此项权重3分，实际得分3分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（1）预算投入科学性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本项目在实施之前，对我单位康复器材的需求数量进行了核实，并由项目负责人对器材的市场价格进行了询价，最后经局党组计提研究确定了资金的投入数量，确保资金投入的科学性。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巴州民政局充分考虑了项目的实际需求与目标，对福彩公益金支持社会福利项目进行了合理的分配，根据我单位的实际需求，分配了50万元完善我单位康复器材，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福彩公益金使用的效益最大化要求。资金分配的合理性为项目的成功实施提供了有力的保障，也为项目的绩效评价奠定了坚实的基础。</w:t>
      </w:r>
    </w:p>
    <w:p w14:paraId="5D94C0E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4A6B1D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彩票公益金管理办法》，确保了资金的合规性与安全性。在资金使用过程中，我们严格照单位财务制度，层层审批。专款专用的原则，确保了项目资金不被挪用或截留。同时，资金使用还充分考虑了成本效益原则，通过与供应商的协商，提高资金使用效率，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根据我单位的管理制度及财务制度严格实施，我单位《标准化汇编》手册涵盖了项目管理，资金支出等方面制度，汇编经自治区相关部门审定，合法、合规，单位的管理制度，为该项目的成功实施提供了坚实的制度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综上所述，本项目结合单位管理制度实施，既符合项目的实际情况，又满足了项目管理的需要。管理制度的健全性为项目的成功实施提供了有力的保障，也为项目的绩效评价奠定了坚实的基础。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项目的合同书、验收报告及质量保证等资料齐全，按照单位的制度要求纳入了会计凭证管理，项目器材也按规定入场并投入使用。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p>
    <w:p w14:paraId="79B1B1E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0657A2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项目产出类指标包括产出数量、产出质量、产出时效、产出成本四方面的内容，由8个三级指标构成，权重分为40分，实际得分39分，得分率为97.5%。具体产出指标完成情况如下：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指标1：配置康复器械数量，指标值：&gt;=9个，实际完成值：10个，指标完成率111.11 %；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指标1：未成年人服务保障率，指标值：=100%，实际完成值：100%，指标完成率100%；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指标2：政府采购率，指标值：=100%，实际完成值：100%，指标完成率100 %；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指标3：设备质量合格率，指标值：=95%，实际完成值：=100 %，指标完成率100 %；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指标4：设备验收合格率，指标值：=95%，实际完成值：10个，指标完成率100 %；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指标1：项目资金支付完成率，指标值：&lt;=100%，实际完成值：100%，指标完成率100%；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指标2：设备采购完成时间，指标值：2024年12月10，实际完成值：2024年11月22日，指标完成率100 %；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指标1：设备采购成本控制数，指标值：&lt;=5.55万元/台，实际完成值：5万元/台，指标完成率90.09%；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此项权重10分，实际得分9分。</w:t>
      </w:r>
    </w:p>
    <w:p w14:paraId="1919438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03968A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指标1：推动未成年人保护（困境儿童）工作高质量发展，指标值：有效提高，实际完成值：达成目标，指标完成率100%；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指标2：设备利用率，指标值：&gt;=95%，实际完成值：100%，指标完成率105.26%；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此项权重10分，实际得分10分。</w:t>
      </w:r>
    </w:p>
    <w:p w14:paraId="2F7DC33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2.满意度指标1：受益未成年人（困境儿童）满意度），指标值：&gt;=90%，实际完成值：100%，指标完成率100%。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此项权重10分，实际得分10分。</w:t>
      </w:r>
    </w:p>
    <w:p w14:paraId="79830E3B">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95D701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指定专人负责项目的具体事宜，提前做好项目规划。在项目实施过程中项目负责人做好定期监督检查，有问题及时反馈，单位领导和项目相关人员严格按照项目管理规范商量解决问题；在项目资金使用过程中，财务人员严格落实把关，按照项目资金使用范围做好审核工作，让项目资金落于实处。在项目完成后，康复部做好受益群众民意调查及项目后续的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遵守民政局系统资金管理的相关规定，项目的开展和资金使用经民政局党委审定通过后，再进行，杜绝了资金被挤占和挪用现象的发生。项目资金的支出严格按照我院财务管理规定，项目负责、财务人员、负责项目领导等相关人员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绩效管理方面的知识学习人员范围要向单位各部门负责人员延伸，而不只是对财务人员进行培训学习，进而推进项目实际开展与项目绩效工作理论与实践的有效结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2.提高单位领导对项目绩效工作的重视程度，发挥单位项目绩效工作在实际运行中的作用。</w:t>
      </w:r>
    </w:p>
    <w:p w14:paraId="65BAC0AC">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5F1479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1.专门设定对绩效工作人员定职、定岗、定责等相关制度措施，并加强对绩效工作人员的培训，进一步提升我单位绩效管理工作业务水平，扎实做好绩效管理工作。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2.进一步加强对绩效管理工作的组织领导，提高对预算绩效管理工作重要性的认识，总结经验查找问题，抓紧研究制定更全面更完善的绩效评价管理办法。</w:t>
      </w:r>
    </w:p>
    <w:p w14:paraId="5242A5D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AFC666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F818E0E">
      <w:pPr>
        <w:spacing w:line="540" w:lineRule="exact"/>
        <w:ind w:firstLine="567"/>
        <w:rPr>
          <w:rStyle w:val="19"/>
          <w:rFonts w:ascii="仿宋" w:hAnsi="仿宋" w:eastAsia="仿宋"/>
          <w:b w:val="0"/>
          <w:spacing w:val="-4"/>
          <w:sz w:val="32"/>
          <w:szCs w:val="32"/>
        </w:rPr>
      </w:pPr>
    </w:p>
    <w:p w14:paraId="239F7D0D">
      <w:pPr>
        <w:spacing w:line="540" w:lineRule="exact"/>
        <w:ind w:firstLine="567"/>
        <w:rPr>
          <w:rStyle w:val="19"/>
          <w:rFonts w:ascii="仿宋" w:hAnsi="仿宋" w:eastAsia="仿宋"/>
          <w:b w:val="0"/>
          <w:spacing w:val="-4"/>
          <w:sz w:val="32"/>
          <w:szCs w:val="32"/>
        </w:rPr>
      </w:pPr>
    </w:p>
    <w:p w14:paraId="0971C572">
      <w:pPr>
        <w:spacing w:line="540" w:lineRule="exact"/>
        <w:ind w:firstLine="567"/>
        <w:rPr>
          <w:rStyle w:val="19"/>
          <w:rFonts w:ascii="仿宋" w:hAnsi="仿宋" w:eastAsia="仿宋"/>
          <w:b w:val="0"/>
          <w:spacing w:val="-4"/>
          <w:sz w:val="32"/>
          <w:szCs w:val="32"/>
        </w:rPr>
      </w:pPr>
    </w:p>
    <w:p w14:paraId="3CA12C07">
      <w:pPr>
        <w:spacing w:line="540" w:lineRule="exact"/>
        <w:ind w:firstLine="567"/>
        <w:rPr>
          <w:rStyle w:val="19"/>
          <w:rFonts w:ascii="仿宋" w:hAnsi="仿宋" w:eastAsia="仿宋"/>
          <w:b w:val="0"/>
          <w:spacing w:val="-4"/>
          <w:sz w:val="32"/>
          <w:szCs w:val="32"/>
        </w:rPr>
      </w:pPr>
    </w:p>
    <w:p w14:paraId="35AB8118">
      <w:pPr>
        <w:spacing w:line="540" w:lineRule="exact"/>
        <w:ind w:firstLine="567"/>
        <w:rPr>
          <w:rStyle w:val="19"/>
          <w:rFonts w:ascii="仿宋" w:hAnsi="仿宋" w:eastAsia="仿宋"/>
          <w:b w:val="0"/>
          <w:spacing w:val="-4"/>
          <w:sz w:val="32"/>
          <w:szCs w:val="32"/>
        </w:rPr>
      </w:pPr>
    </w:p>
    <w:p w14:paraId="2A4D4894">
      <w:pPr>
        <w:spacing w:line="540" w:lineRule="exact"/>
        <w:ind w:firstLine="567"/>
        <w:rPr>
          <w:rStyle w:val="19"/>
          <w:rFonts w:ascii="仿宋" w:hAnsi="仿宋" w:eastAsia="仿宋"/>
          <w:b w:val="0"/>
          <w:spacing w:val="-4"/>
          <w:sz w:val="32"/>
          <w:szCs w:val="32"/>
        </w:rPr>
      </w:pPr>
    </w:p>
    <w:p w14:paraId="4A40508B">
      <w:pPr>
        <w:spacing w:line="540" w:lineRule="exact"/>
        <w:ind w:firstLine="567"/>
        <w:rPr>
          <w:rStyle w:val="19"/>
          <w:rFonts w:ascii="仿宋" w:hAnsi="仿宋" w:eastAsia="仿宋"/>
          <w:b w:val="0"/>
          <w:spacing w:val="-4"/>
          <w:sz w:val="32"/>
          <w:szCs w:val="32"/>
        </w:rPr>
      </w:pPr>
    </w:p>
    <w:p w14:paraId="57C3F38E">
      <w:pPr>
        <w:spacing w:line="540" w:lineRule="exact"/>
        <w:ind w:firstLine="567"/>
        <w:rPr>
          <w:rStyle w:val="19"/>
          <w:rFonts w:ascii="仿宋" w:hAnsi="仿宋" w:eastAsia="仿宋"/>
          <w:b w:val="0"/>
          <w:spacing w:val="-4"/>
          <w:sz w:val="32"/>
          <w:szCs w:val="32"/>
        </w:rPr>
      </w:pPr>
    </w:p>
    <w:p w14:paraId="05984312">
      <w:pPr>
        <w:spacing w:line="540" w:lineRule="exact"/>
        <w:ind w:firstLine="567"/>
        <w:rPr>
          <w:rStyle w:val="19"/>
          <w:rFonts w:ascii="仿宋" w:hAnsi="仿宋" w:eastAsia="仿宋"/>
          <w:b w:val="0"/>
          <w:spacing w:val="-4"/>
          <w:sz w:val="32"/>
          <w:szCs w:val="32"/>
        </w:rPr>
      </w:pPr>
    </w:p>
    <w:p w14:paraId="70EBB4D3">
      <w:pPr>
        <w:spacing w:line="540" w:lineRule="exact"/>
        <w:ind w:firstLine="567"/>
        <w:rPr>
          <w:rStyle w:val="19"/>
          <w:rFonts w:ascii="仿宋" w:hAnsi="仿宋" w:eastAsia="仿宋"/>
          <w:b w:val="0"/>
          <w:spacing w:val="-4"/>
          <w:sz w:val="32"/>
          <w:szCs w:val="32"/>
        </w:rPr>
      </w:pPr>
    </w:p>
    <w:p w14:paraId="53E135BC">
      <w:pPr>
        <w:spacing w:line="540" w:lineRule="exact"/>
        <w:ind w:firstLine="567"/>
        <w:rPr>
          <w:rStyle w:val="19"/>
          <w:rFonts w:ascii="仿宋" w:hAnsi="仿宋" w:eastAsia="仿宋"/>
          <w:b w:val="0"/>
          <w:spacing w:val="-4"/>
          <w:sz w:val="32"/>
          <w:szCs w:val="32"/>
        </w:rPr>
      </w:pPr>
    </w:p>
    <w:p w14:paraId="6E9F8A5B">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89595DB-6A8D-4B14-8287-CB4FE969D53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A4A8560-7C8C-4537-911F-45F77A53B7CF}"/>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64C714D-81B0-4226-A9BE-B0E6C7E4293B}"/>
  </w:font>
  <w:font w:name="华文中宋">
    <w:panose1 w:val="02010600040101010101"/>
    <w:charset w:val="86"/>
    <w:family w:val="auto"/>
    <w:pitch w:val="default"/>
    <w:sig w:usb0="00000287" w:usb1="080F0000" w:usb2="00000000" w:usb3="00000000" w:csb0="0004009F" w:csb1="DFD70000"/>
    <w:embedRegular r:id="rId4" w:fontKey="{3821294D-E447-4DE5-9557-410879357372}"/>
  </w:font>
  <w:font w:name="方正小标宋_GBK">
    <w:panose1 w:val="02000000000000000000"/>
    <w:charset w:val="86"/>
    <w:family w:val="script"/>
    <w:pitch w:val="default"/>
    <w:sig w:usb0="A00002BF" w:usb1="38CF7CFA" w:usb2="00082016" w:usb3="00000000" w:csb0="00040001" w:csb1="00000000"/>
    <w:embedRegular r:id="rId5" w:fontKey="{4CABE145-95DE-4D4F-A9C4-38C7898170A5}"/>
  </w:font>
  <w:font w:name="仿宋_GB2312">
    <w:altName w:val="仿宋"/>
    <w:panose1 w:val="02010609030101010101"/>
    <w:charset w:val="86"/>
    <w:family w:val="modern"/>
    <w:pitch w:val="default"/>
    <w:sig w:usb0="00000000" w:usb1="00000000" w:usb2="00000000" w:usb3="00000000" w:csb0="00040000" w:csb1="00000000"/>
    <w:embedRegular r:id="rId6" w:fontKey="{52D34EFE-1812-4977-BCED-F0419B680C3B}"/>
  </w:font>
  <w:font w:name="楷体">
    <w:panose1 w:val="02010609060101010101"/>
    <w:charset w:val="86"/>
    <w:family w:val="modern"/>
    <w:pitch w:val="default"/>
    <w:sig w:usb0="800002BF" w:usb1="38CF7CFA" w:usb2="00000016" w:usb3="00000000" w:csb0="00040001" w:csb1="00000000"/>
    <w:embedRegular r:id="rId7" w:fontKey="{34448D67-F281-4475-A7A9-7C495EC6E24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BC17AB9">
        <w:pPr>
          <w:pStyle w:val="12"/>
          <w:jc w:val="center"/>
        </w:pPr>
        <w:r>
          <w:fldChar w:fldCharType="begin"/>
        </w:r>
        <w:r>
          <w:instrText xml:space="preserve">PAGE   \* MERGEFORMAT</w:instrText>
        </w:r>
        <w:r>
          <w:fldChar w:fldCharType="separate"/>
        </w:r>
        <w:r>
          <w:rPr>
            <w:lang w:val="zh-CN"/>
          </w:rPr>
          <w:t>1</w:t>
        </w:r>
        <w:r>
          <w:fldChar w:fldCharType="end"/>
        </w:r>
      </w:p>
    </w:sdtContent>
  </w:sdt>
  <w:p w14:paraId="0FC764F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FD5C4A"/>
    <w:rsid w:val="2997465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a784d103-d68a-4e15-a497-ffdaebf07601}">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8197</Words>
  <Characters>8470</Characters>
  <Lines>5</Lines>
  <Paragraphs>1</Paragraphs>
  <TotalTime>1</TotalTime>
  <ScaleCrop>false</ScaleCrop>
  <LinksUpToDate>false</LinksUpToDate>
  <CharactersWithSpaces>8559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2025-09-22T11:08:48Z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